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16263" w:rsidRDefault="00816263" w:rsidP="00816263">
      <w:pPr>
        <w:rPr>
          <w:rFonts w:asciiTheme="minorHAnsi" w:hAnsiTheme="minorHAnsi"/>
          <w:b w:val="0"/>
          <w:sz w:val="16"/>
          <w:szCs w:val="14"/>
        </w:rPr>
      </w:pPr>
      <w:r>
        <w:rPr>
          <w:rFonts w:cs="Times"/>
          <w:b w:val="0"/>
          <w:bCs/>
          <w:noProof/>
          <w:sz w:val="24"/>
          <w:szCs w:val="24"/>
        </w:rPr>
        <w:drawing>
          <wp:anchor distT="0" distB="0" distL="114300" distR="114300" simplePos="0" relativeHeight="251660288" behindDoc="1" locked="0" layoutInCell="1" allowOverlap="1" wp14:anchorId="293078C7" wp14:editId="439626C3">
            <wp:simplePos x="0" y="0"/>
            <wp:positionH relativeFrom="column">
              <wp:posOffset>13902</wp:posOffset>
            </wp:positionH>
            <wp:positionV relativeFrom="paragraph">
              <wp:posOffset>52012</wp:posOffset>
            </wp:positionV>
            <wp:extent cx="2786300" cy="1003069"/>
            <wp:effectExtent l="0" t="0" r="0" b="6985"/>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5"/>
                    <a:stretch>
                      <a:fillRect/>
                    </a:stretch>
                  </pic:blipFill>
                  <pic:spPr>
                    <a:xfrm>
                      <a:off x="0" y="0"/>
                      <a:ext cx="2786300" cy="1003069"/>
                    </a:xfrm>
                    <a:prstGeom prst="rect">
                      <a:avLst/>
                    </a:prstGeom>
                  </pic:spPr>
                </pic:pic>
              </a:graphicData>
            </a:graphic>
            <wp14:sizeRelH relativeFrom="margin">
              <wp14:pctWidth>0</wp14:pctWidth>
            </wp14:sizeRelH>
            <wp14:sizeRelV relativeFrom="margin">
              <wp14:pctHeight>0</wp14:pctHeight>
            </wp14:sizeRelV>
          </wp:anchor>
        </w:drawing>
      </w:r>
    </w:p>
    <w:p w:rsidR="00816263" w:rsidRDefault="00816263" w:rsidP="00816263">
      <w:pPr>
        <w:rPr>
          <w:rFonts w:asciiTheme="minorHAnsi" w:hAnsiTheme="minorHAnsi"/>
          <w:b w:val="0"/>
          <w:sz w:val="16"/>
          <w:szCs w:val="14"/>
        </w:rPr>
      </w:pPr>
    </w:p>
    <w:p w:rsidR="00816263" w:rsidRDefault="00816263" w:rsidP="00816263">
      <w:pPr>
        <w:rPr>
          <w:rFonts w:asciiTheme="minorHAnsi" w:hAnsiTheme="minorHAnsi"/>
          <w:b w:val="0"/>
          <w:sz w:val="16"/>
          <w:szCs w:val="14"/>
        </w:rPr>
      </w:pPr>
    </w:p>
    <w:p w:rsidR="00816263" w:rsidRDefault="00816263" w:rsidP="00816263">
      <w:pPr>
        <w:rPr>
          <w:rFonts w:asciiTheme="minorHAnsi" w:hAnsiTheme="minorHAnsi"/>
          <w:b w:val="0"/>
          <w:sz w:val="16"/>
          <w:szCs w:val="14"/>
        </w:rPr>
      </w:pPr>
    </w:p>
    <w:p w:rsidR="00816263" w:rsidRDefault="00816263" w:rsidP="00816263">
      <w:pPr>
        <w:rPr>
          <w:rFonts w:asciiTheme="minorHAnsi" w:hAnsiTheme="minorHAnsi"/>
          <w:b w:val="0"/>
          <w:sz w:val="16"/>
          <w:szCs w:val="14"/>
        </w:rPr>
      </w:pPr>
    </w:p>
    <w:p w:rsidR="00816263" w:rsidRDefault="00816263" w:rsidP="00816263">
      <w:pPr>
        <w:rPr>
          <w:rFonts w:asciiTheme="minorHAnsi" w:hAnsiTheme="minorHAnsi"/>
          <w:b w:val="0"/>
          <w:sz w:val="16"/>
          <w:szCs w:val="14"/>
        </w:rPr>
      </w:pPr>
    </w:p>
    <w:p w:rsidR="00816263" w:rsidRDefault="00816263" w:rsidP="00816263">
      <w:pPr>
        <w:rPr>
          <w:rFonts w:asciiTheme="minorHAnsi" w:hAnsiTheme="minorHAnsi"/>
          <w:b w:val="0"/>
          <w:sz w:val="16"/>
          <w:szCs w:val="14"/>
        </w:rPr>
      </w:pPr>
    </w:p>
    <w:p w:rsidR="00816263" w:rsidRDefault="00816263" w:rsidP="00816263">
      <w:pPr>
        <w:rPr>
          <w:rFonts w:asciiTheme="minorHAnsi" w:hAnsiTheme="minorHAnsi"/>
          <w:b w:val="0"/>
          <w:sz w:val="16"/>
          <w:szCs w:val="14"/>
        </w:rPr>
      </w:pPr>
    </w:p>
    <w:p w:rsidR="00816263" w:rsidRDefault="00816263" w:rsidP="00816263">
      <w:pPr>
        <w:rPr>
          <w:rFonts w:asciiTheme="minorHAnsi" w:hAnsiTheme="minorHAnsi"/>
          <w:b w:val="0"/>
          <w:sz w:val="16"/>
          <w:szCs w:val="14"/>
        </w:rPr>
      </w:pPr>
    </w:p>
    <w:p w:rsidR="00816263" w:rsidRPr="00936D34" w:rsidRDefault="00816263" w:rsidP="00816263">
      <w:pPr>
        <w:rPr>
          <w:rFonts w:asciiTheme="minorHAnsi" w:hAnsiTheme="minorHAnsi"/>
          <w:b w:val="0"/>
          <w:sz w:val="22"/>
          <w:szCs w:val="20"/>
        </w:rPr>
      </w:pPr>
      <w:r w:rsidRPr="00936D34">
        <w:rPr>
          <w:rFonts w:asciiTheme="minorHAnsi" w:hAnsiTheme="minorHAnsi"/>
          <w:b w:val="0"/>
          <w:sz w:val="22"/>
          <w:szCs w:val="20"/>
        </w:rPr>
        <w:t>Rapport du maire</w:t>
      </w:r>
    </w:p>
    <w:p w:rsidR="00816263" w:rsidRPr="00936D34" w:rsidRDefault="00816263" w:rsidP="00816263">
      <w:pPr>
        <w:rPr>
          <w:rFonts w:asciiTheme="minorHAnsi" w:hAnsiTheme="minorHAnsi"/>
          <w:b w:val="0"/>
          <w:sz w:val="22"/>
          <w:szCs w:val="20"/>
        </w:rPr>
      </w:pPr>
      <w:proofErr w:type="gramStart"/>
      <w:r w:rsidRPr="00936D34">
        <w:rPr>
          <w:rFonts w:asciiTheme="minorHAnsi" w:hAnsiTheme="minorHAnsi"/>
          <w:b w:val="0"/>
          <w:sz w:val="22"/>
          <w:szCs w:val="20"/>
        </w:rPr>
        <w:t>sur</w:t>
      </w:r>
      <w:proofErr w:type="gramEnd"/>
      <w:r w:rsidRPr="00936D34">
        <w:rPr>
          <w:rFonts w:asciiTheme="minorHAnsi" w:hAnsiTheme="minorHAnsi"/>
          <w:b w:val="0"/>
          <w:sz w:val="22"/>
          <w:szCs w:val="20"/>
        </w:rPr>
        <w:t xml:space="preserve"> la situation fi</w:t>
      </w:r>
      <w:r>
        <w:rPr>
          <w:rFonts w:asciiTheme="minorHAnsi" w:hAnsiTheme="minorHAnsi"/>
          <w:b w:val="0"/>
          <w:sz w:val="22"/>
          <w:szCs w:val="20"/>
        </w:rPr>
        <w:t>n</w:t>
      </w:r>
      <w:r w:rsidRPr="00936D34">
        <w:rPr>
          <w:rFonts w:asciiTheme="minorHAnsi" w:hAnsiTheme="minorHAnsi"/>
          <w:b w:val="0"/>
          <w:sz w:val="22"/>
          <w:szCs w:val="20"/>
        </w:rPr>
        <w:t xml:space="preserve">ancière terminée </w:t>
      </w:r>
    </w:p>
    <w:p w:rsidR="00816263" w:rsidRPr="00936D34" w:rsidRDefault="00816263" w:rsidP="00816263">
      <w:pPr>
        <w:rPr>
          <w:rFonts w:asciiTheme="minorHAnsi" w:hAnsiTheme="minorHAnsi"/>
          <w:b w:val="0"/>
          <w:sz w:val="22"/>
          <w:szCs w:val="20"/>
        </w:rPr>
      </w:pPr>
      <w:proofErr w:type="gramStart"/>
      <w:r w:rsidRPr="00936D34">
        <w:rPr>
          <w:rFonts w:asciiTheme="minorHAnsi" w:hAnsiTheme="minorHAnsi"/>
          <w:b w:val="0"/>
          <w:sz w:val="22"/>
          <w:szCs w:val="20"/>
        </w:rPr>
        <w:t>au</w:t>
      </w:r>
      <w:proofErr w:type="gramEnd"/>
      <w:r w:rsidRPr="00936D34">
        <w:rPr>
          <w:rFonts w:asciiTheme="minorHAnsi" w:hAnsiTheme="minorHAnsi"/>
          <w:b w:val="0"/>
          <w:sz w:val="22"/>
          <w:szCs w:val="20"/>
        </w:rPr>
        <w:t xml:space="preserve"> 31 décembre 2021</w:t>
      </w:r>
    </w:p>
    <w:p w:rsidR="00816263" w:rsidRDefault="00816263" w:rsidP="00816263">
      <w:pPr>
        <w:rPr>
          <w:rFonts w:asciiTheme="minorHAnsi" w:hAnsiTheme="minorHAnsi"/>
          <w:b w:val="0"/>
          <w:sz w:val="22"/>
          <w:szCs w:val="20"/>
        </w:rPr>
      </w:pPr>
    </w:p>
    <w:p w:rsidR="00816263" w:rsidRPr="00936D34" w:rsidRDefault="00816263" w:rsidP="00816263">
      <w:pPr>
        <w:rPr>
          <w:rFonts w:asciiTheme="minorHAnsi" w:hAnsiTheme="minorHAnsi"/>
          <w:b w:val="0"/>
          <w:sz w:val="22"/>
          <w:szCs w:val="20"/>
        </w:rPr>
      </w:pPr>
    </w:p>
    <w:p w:rsidR="00816263" w:rsidRPr="00936D34" w:rsidRDefault="00816263" w:rsidP="00816263">
      <w:pPr>
        <w:jc w:val="right"/>
        <w:rPr>
          <w:rFonts w:asciiTheme="minorHAnsi" w:hAnsiTheme="minorHAnsi"/>
          <w:b w:val="0"/>
          <w:sz w:val="22"/>
          <w:szCs w:val="20"/>
        </w:rPr>
      </w:pPr>
      <w:r w:rsidRPr="00936D34">
        <w:rPr>
          <w:rFonts w:asciiTheme="minorHAnsi" w:hAnsiTheme="minorHAnsi"/>
          <w:b w:val="0"/>
          <w:sz w:val="22"/>
          <w:szCs w:val="20"/>
        </w:rPr>
        <w:t>Présenté à la séance ordinaire</w:t>
      </w:r>
    </w:p>
    <w:p w:rsidR="00816263" w:rsidRPr="00936D34" w:rsidRDefault="00816263" w:rsidP="00816263">
      <w:pPr>
        <w:jc w:val="right"/>
        <w:rPr>
          <w:rFonts w:asciiTheme="minorHAnsi" w:hAnsiTheme="minorHAnsi"/>
          <w:b w:val="0"/>
          <w:sz w:val="22"/>
          <w:szCs w:val="20"/>
        </w:rPr>
      </w:pPr>
      <w:proofErr w:type="gramStart"/>
      <w:r>
        <w:rPr>
          <w:rFonts w:asciiTheme="minorHAnsi" w:hAnsiTheme="minorHAnsi"/>
          <w:b w:val="0"/>
          <w:sz w:val="22"/>
          <w:szCs w:val="20"/>
        </w:rPr>
        <w:t>du</w:t>
      </w:r>
      <w:proofErr w:type="gramEnd"/>
      <w:r w:rsidRPr="00936D34">
        <w:rPr>
          <w:rFonts w:asciiTheme="minorHAnsi" w:hAnsiTheme="minorHAnsi"/>
          <w:b w:val="0"/>
          <w:sz w:val="22"/>
          <w:szCs w:val="20"/>
        </w:rPr>
        <w:t xml:space="preserve"> 13 juin 2022</w:t>
      </w:r>
    </w:p>
    <w:p w:rsidR="00816263" w:rsidRDefault="00816263" w:rsidP="00816263">
      <w:pPr>
        <w:jc w:val="right"/>
        <w:rPr>
          <w:rFonts w:asciiTheme="minorHAnsi" w:hAnsiTheme="minorHAnsi"/>
          <w:b w:val="0"/>
          <w:sz w:val="22"/>
          <w:szCs w:val="20"/>
        </w:rPr>
      </w:pPr>
      <w:proofErr w:type="gramStart"/>
      <w:r>
        <w:rPr>
          <w:rFonts w:asciiTheme="minorHAnsi" w:hAnsiTheme="minorHAnsi"/>
          <w:b w:val="0"/>
          <w:sz w:val="22"/>
          <w:szCs w:val="20"/>
        </w:rPr>
        <w:t>par</w:t>
      </w:r>
      <w:proofErr w:type="gramEnd"/>
      <w:r w:rsidRPr="00936D34">
        <w:rPr>
          <w:rFonts w:asciiTheme="minorHAnsi" w:hAnsiTheme="minorHAnsi"/>
          <w:b w:val="0"/>
          <w:sz w:val="22"/>
          <w:szCs w:val="20"/>
        </w:rPr>
        <w:t xml:space="preserve"> le maire, Patrick Lavoie</w:t>
      </w:r>
    </w:p>
    <w:p w:rsidR="00816263" w:rsidRDefault="00816263" w:rsidP="00816263">
      <w:pPr>
        <w:jc w:val="right"/>
        <w:rPr>
          <w:rFonts w:asciiTheme="minorHAnsi" w:hAnsiTheme="minorHAnsi"/>
          <w:b w:val="0"/>
          <w:sz w:val="22"/>
          <w:szCs w:val="20"/>
        </w:rPr>
      </w:pPr>
    </w:p>
    <w:p w:rsidR="00816263" w:rsidRPr="00936D34" w:rsidRDefault="00816263" w:rsidP="00816263">
      <w:pPr>
        <w:jc w:val="right"/>
        <w:rPr>
          <w:rFonts w:asciiTheme="minorHAnsi" w:hAnsiTheme="minorHAnsi"/>
          <w:b w:val="0"/>
          <w:sz w:val="22"/>
          <w:szCs w:val="20"/>
        </w:rPr>
      </w:pPr>
    </w:p>
    <w:p w:rsidR="00816263" w:rsidRPr="00E54901" w:rsidRDefault="00816263" w:rsidP="00816263">
      <w:pPr>
        <w:pStyle w:val="NormalWeb"/>
        <w:jc w:val="both"/>
        <w:rPr>
          <w:rFonts w:asciiTheme="minorHAnsi" w:hAnsiTheme="minorHAnsi" w:cstheme="minorHAnsi"/>
          <w:b w:val="0"/>
          <w:bCs/>
          <w:sz w:val="22"/>
          <w:szCs w:val="22"/>
        </w:rPr>
      </w:pPr>
      <w:r w:rsidRPr="00E54901">
        <w:rPr>
          <w:rFonts w:asciiTheme="minorHAnsi" w:hAnsiTheme="minorHAnsi" w:cstheme="minorHAnsi"/>
          <w:b w:val="0"/>
          <w:bCs/>
          <w:sz w:val="22"/>
          <w:szCs w:val="22"/>
        </w:rPr>
        <w:t>Chères citoyennes, chers citoyens,</w:t>
      </w:r>
    </w:p>
    <w:p w:rsidR="00816263" w:rsidRPr="00E54901" w:rsidRDefault="00816263" w:rsidP="00816263">
      <w:pPr>
        <w:pStyle w:val="NormalWeb"/>
        <w:jc w:val="both"/>
        <w:rPr>
          <w:rFonts w:asciiTheme="minorHAnsi" w:hAnsiTheme="minorHAnsi" w:cstheme="minorHAnsi"/>
          <w:b w:val="0"/>
          <w:bCs/>
          <w:sz w:val="22"/>
          <w:szCs w:val="22"/>
        </w:rPr>
      </w:pPr>
      <w:r w:rsidRPr="00E54901">
        <w:rPr>
          <w:rFonts w:asciiTheme="minorHAnsi" w:hAnsiTheme="minorHAnsi" w:cstheme="minorHAnsi"/>
          <w:b w:val="0"/>
          <w:bCs/>
          <w:sz w:val="22"/>
          <w:szCs w:val="22"/>
        </w:rPr>
        <w:t>Je dépose aujourd’hui mon rapport sur la situation financière de notre municipalité.</w:t>
      </w:r>
    </w:p>
    <w:p w:rsidR="00816263" w:rsidRPr="00E54901" w:rsidRDefault="00816263" w:rsidP="00816263">
      <w:pPr>
        <w:pStyle w:val="NormalWeb"/>
        <w:jc w:val="both"/>
        <w:rPr>
          <w:rFonts w:asciiTheme="minorHAnsi" w:hAnsiTheme="minorHAnsi" w:cstheme="minorHAnsi"/>
          <w:b w:val="0"/>
          <w:bCs/>
          <w:sz w:val="22"/>
          <w:szCs w:val="22"/>
        </w:rPr>
      </w:pPr>
      <w:r w:rsidRPr="00E54901">
        <w:rPr>
          <w:rFonts w:asciiTheme="minorHAnsi" w:hAnsiTheme="minorHAnsi" w:cstheme="minorHAnsi"/>
          <w:b w:val="0"/>
          <w:bCs/>
          <w:sz w:val="22"/>
          <w:szCs w:val="22"/>
        </w:rPr>
        <w:t xml:space="preserve">Les services de la firme </w:t>
      </w:r>
      <w:proofErr w:type="spellStart"/>
      <w:r w:rsidRPr="00E54901">
        <w:rPr>
          <w:rFonts w:asciiTheme="minorHAnsi" w:hAnsiTheme="minorHAnsi" w:cstheme="minorHAnsi"/>
          <w:b w:val="0"/>
          <w:bCs/>
          <w:sz w:val="22"/>
          <w:szCs w:val="22"/>
        </w:rPr>
        <w:t>Aubé</w:t>
      </w:r>
      <w:proofErr w:type="spellEnd"/>
      <w:r w:rsidRPr="00E54901">
        <w:rPr>
          <w:rFonts w:asciiTheme="minorHAnsi" w:hAnsiTheme="minorHAnsi" w:cstheme="minorHAnsi"/>
          <w:b w:val="0"/>
          <w:bCs/>
          <w:sz w:val="22"/>
          <w:szCs w:val="22"/>
        </w:rPr>
        <w:t>, Anctil, Pichette et Associés ont été retenus pour la vérification obligatoire des comptes de la municipalité, tenus par la secrétaire-trésorière et directrice générale, en vertu du Code municipal de la province de Québec.</w:t>
      </w:r>
    </w:p>
    <w:p w:rsidR="00816263" w:rsidRDefault="00816263" w:rsidP="00816263">
      <w:pPr>
        <w:pStyle w:val="NormalWeb"/>
        <w:jc w:val="both"/>
        <w:rPr>
          <w:rFonts w:asciiTheme="minorHAnsi" w:hAnsiTheme="minorHAnsi" w:cstheme="minorHAnsi"/>
          <w:b w:val="0"/>
          <w:bCs/>
          <w:sz w:val="22"/>
          <w:szCs w:val="22"/>
        </w:rPr>
      </w:pPr>
      <w:r w:rsidRPr="00E54901">
        <w:rPr>
          <w:rFonts w:asciiTheme="minorHAnsi" w:hAnsiTheme="minorHAnsi" w:cstheme="minorHAnsi"/>
          <w:b w:val="0"/>
          <w:bCs/>
          <w:sz w:val="22"/>
          <w:szCs w:val="22"/>
        </w:rPr>
        <w:t>Selon le vérificateur et conformément aux Normes comptables canadiennes pour le secteur public, les états financiers consolidés donnent, dans tous leurs aspects significatifs, une image fidèle de la situation financière de la Municipalité Paroisse de Saint-Hilarion au 31 décembre 2021, ainsi que des résultats de ses activités, de la variation de ses actifs financiers nets (sa dette nette) et de ses flux de trésorerie consolidés pour l’exercice terminé à cette date.</w:t>
      </w:r>
    </w:p>
    <w:tbl>
      <w:tblPr>
        <w:tblStyle w:val="Grillecouleur-Accent1"/>
        <w:tblW w:w="0" w:type="auto"/>
        <w:tblInd w:w="0" w:type="dxa"/>
        <w:tblLook w:val="04A0" w:firstRow="1" w:lastRow="0" w:firstColumn="1" w:lastColumn="0" w:noHBand="0" w:noVBand="1"/>
      </w:tblPr>
      <w:tblGrid>
        <w:gridCol w:w="4562"/>
        <w:gridCol w:w="4498"/>
      </w:tblGrid>
      <w:tr w:rsidR="00816263" w:rsidRPr="00724FB3" w:rsidTr="00816263">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auto"/>
              <w:left w:val="single" w:sz="4" w:space="0" w:color="auto"/>
              <w:bottom w:val="single" w:sz="4" w:space="0" w:color="FFFFFF" w:themeColor="background1"/>
              <w:right w:val="single" w:sz="4" w:space="0" w:color="auto"/>
            </w:tcBorders>
          </w:tcPr>
          <w:p w:rsidR="00816263" w:rsidRPr="00333458" w:rsidRDefault="00816263" w:rsidP="00F570ED">
            <w:pPr>
              <w:pStyle w:val="NormalWeb"/>
              <w:jc w:val="center"/>
              <w:rPr>
                <w:b/>
                <w:bCs w:val="0"/>
                <w:color w:val="000000" w:themeColor="text1"/>
                <w:sz w:val="22"/>
                <w:szCs w:val="22"/>
              </w:rPr>
            </w:pPr>
            <w:r w:rsidRPr="00333458">
              <w:rPr>
                <w:b/>
                <w:bCs w:val="0"/>
                <w:color w:val="000000" w:themeColor="text1"/>
                <w:sz w:val="22"/>
                <w:szCs w:val="22"/>
              </w:rPr>
              <w:t xml:space="preserve">Sommaire des résultats à des fins </w:t>
            </w:r>
            <w:r w:rsidRPr="00771CB6">
              <w:rPr>
                <w:b/>
                <w:bCs w:val="0"/>
                <w:color w:val="000000" w:themeColor="text1"/>
                <w:sz w:val="22"/>
                <w:szCs w:val="22"/>
              </w:rPr>
              <w:t>fiscales consolidés</w:t>
            </w:r>
          </w:p>
          <w:p w:rsidR="00816263" w:rsidRPr="00724FB3" w:rsidRDefault="00816263" w:rsidP="00F570ED">
            <w:pPr>
              <w:pStyle w:val="NormalWeb"/>
              <w:jc w:val="center"/>
            </w:pPr>
            <w:r w:rsidRPr="00333458">
              <w:rPr>
                <w:b/>
                <w:bCs w:val="0"/>
                <w:color w:val="000000" w:themeColor="text1"/>
                <w:sz w:val="22"/>
                <w:szCs w:val="22"/>
              </w:rPr>
              <w:t>Exercice financier terminé au 31 décembre 2021</w:t>
            </w:r>
          </w:p>
        </w:tc>
      </w:tr>
      <w:tr w:rsidR="00816263" w:rsidRPr="00724FB3" w:rsidTr="0081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Borders>
              <w:right w:val="single" w:sz="4" w:space="0" w:color="auto"/>
            </w:tcBorders>
          </w:tcPr>
          <w:p w:rsidR="00816263" w:rsidRPr="00333458" w:rsidRDefault="00816263" w:rsidP="00F570ED">
            <w:pPr>
              <w:pStyle w:val="NormalWeb"/>
              <w:rPr>
                <w:color w:val="B4C6E7" w:themeColor="accent1" w:themeTint="66"/>
                <w:sz w:val="22"/>
                <w:szCs w:val="22"/>
              </w:rPr>
            </w:pPr>
            <w:r w:rsidRPr="00333458">
              <w:rPr>
                <w:sz w:val="22"/>
                <w:szCs w:val="22"/>
              </w:rPr>
              <w:t>Fonctionnement</w:t>
            </w:r>
          </w:p>
        </w:tc>
        <w:tc>
          <w:tcPr>
            <w:tcW w:w="4499" w:type="dxa"/>
            <w:tcBorders>
              <w:top w:val="single" w:sz="4" w:space="0" w:color="FFFFFF" w:themeColor="background1"/>
              <w:left w:val="single" w:sz="4" w:space="0" w:color="auto"/>
              <w:bottom w:val="single" w:sz="4" w:space="0" w:color="FFFFFF" w:themeColor="background1"/>
              <w:right w:val="single" w:sz="4" w:space="0" w:color="auto"/>
            </w:tcBorders>
          </w:tcPr>
          <w:p w:rsidR="00816263" w:rsidRPr="00333458" w:rsidRDefault="00816263" w:rsidP="00F570ED">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333458">
              <w:rPr>
                <w:sz w:val="22"/>
                <w:szCs w:val="22"/>
              </w:rPr>
              <w:t>2 894 530</w:t>
            </w:r>
          </w:p>
        </w:tc>
      </w:tr>
      <w:tr w:rsidR="00816263" w:rsidRPr="00724FB3" w:rsidTr="00816263">
        <w:tc>
          <w:tcPr>
            <w:cnfStyle w:val="001000000000" w:firstRow="0" w:lastRow="0" w:firstColumn="1" w:lastColumn="0" w:oddVBand="0" w:evenVBand="0" w:oddHBand="0" w:evenHBand="0" w:firstRowFirstColumn="0" w:firstRowLastColumn="0" w:lastRowFirstColumn="0" w:lastRowLastColumn="0"/>
            <w:tcW w:w="4563" w:type="dxa"/>
            <w:tcBorders>
              <w:right w:val="single" w:sz="4" w:space="0" w:color="auto"/>
            </w:tcBorders>
          </w:tcPr>
          <w:p w:rsidR="00816263" w:rsidRPr="00333458" w:rsidRDefault="00816263" w:rsidP="00F570ED">
            <w:pPr>
              <w:pStyle w:val="NormalWeb"/>
              <w:rPr>
                <w:color w:val="B4C6E7" w:themeColor="accent1" w:themeTint="66"/>
                <w:sz w:val="22"/>
                <w:szCs w:val="22"/>
              </w:rPr>
            </w:pPr>
          </w:p>
        </w:tc>
        <w:tc>
          <w:tcPr>
            <w:tcW w:w="4499" w:type="dxa"/>
            <w:tcBorders>
              <w:top w:val="single" w:sz="4" w:space="0" w:color="FFFFFF" w:themeColor="background1"/>
              <w:left w:val="single" w:sz="4" w:space="0" w:color="auto"/>
              <w:bottom w:val="single" w:sz="4" w:space="0" w:color="FFFFFF" w:themeColor="background1"/>
              <w:right w:val="single" w:sz="4" w:space="0" w:color="auto"/>
            </w:tcBorders>
          </w:tcPr>
          <w:p w:rsidR="00816263" w:rsidRPr="00333458" w:rsidRDefault="00816263" w:rsidP="00F570ED">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816263" w:rsidRPr="00724FB3" w:rsidTr="0081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Borders>
              <w:right w:val="single" w:sz="4" w:space="0" w:color="auto"/>
            </w:tcBorders>
          </w:tcPr>
          <w:p w:rsidR="00816263" w:rsidRPr="00333458" w:rsidRDefault="00816263" w:rsidP="00F570ED">
            <w:pPr>
              <w:pStyle w:val="NormalWeb"/>
              <w:rPr>
                <w:color w:val="B4C6E7" w:themeColor="accent1" w:themeTint="66"/>
                <w:sz w:val="22"/>
                <w:szCs w:val="22"/>
              </w:rPr>
            </w:pPr>
            <w:r w:rsidRPr="00333458">
              <w:rPr>
                <w:sz w:val="22"/>
                <w:szCs w:val="22"/>
              </w:rPr>
              <w:t>Charges</w:t>
            </w:r>
          </w:p>
        </w:tc>
        <w:tc>
          <w:tcPr>
            <w:tcW w:w="4499" w:type="dxa"/>
            <w:tcBorders>
              <w:top w:val="single" w:sz="4" w:space="0" w:color="FFFFFF" w:themeColor="background1"/>
              <w:left w:val="single" w:sz="4" w:space="0" w:color="auto"/>
              <w:bottom w:val="single" w:sz="4" w:space="0" w:color="FFFFFF" w:themeColor="background1"/>
              <w:right w:val="single" w:sz="4" w:space="0" w:color="auto"/>
            </w:tcBorders>
          </w:tcPr>
          <w:p w:rsidR="00816263" w:rsidRPr="00333458" w:rsidRDefault="00816263" w:rsidP="00F570ED">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333458">
              <w:rPr>
                <w:sz w:val="22"/>
                <w:szCs w:val="22"/>
              </w:rPr>
              <w:t>2 060 873</w:t>
            </w:r>
          </w:p>
        </w:tc>
      </w:tr>
      <w:tr w:rsidR="00816263" w:rsidRPr="00724FB3" w:rsidTr="00816263">
        <w:tc>
          <w:tcPr>
            <w:cnfStyle w:val="001000000000" w:firstRow="0" w:lastRow="0" w:firstColumn="1" w:lastColumn="0" w:oddVBand="0" w:evenVBand="0" w:oddHBand="0" w:evenHBand="0" w:firstRowFirstColumn="0" w:firstRowLastColumn="0" w:lastRowFirstColumn="0" w:lastRowLastColumn="0"/>
            <w:tcW w:w="4563" w:type="dxa"/>
            <w:tcBorders>
              <w:right w:val="single" w:sz="4" w:space="0" w:color="auto"/>
            </w:tcBorders>
          </w:tcPr>
          <w:p w:rsidR="00816263" w:rsidRPr="00333458" w:rsidRDefault="00816263" w:rsidP="00F570ED">
            <w:pPr>
              <w:pStyle w:val="NormalWeb"/>
              <w:rPr>
                <w:sz w:val="22"/>
                <w:szCs w:val="22"/>
              </w:rPr>
            </w:pPr>
            <w:r w:rsidRPr="00333458">
              <w:rPr>
                <w:sz w:val="22"/>
                <w:szCs w:val="22"/>
              </w:rPr>
              <w:t>Éléments de conciliation à des fins fiscales</w:t>
            </w:r>
          </w:p>
        </w:tc>
        <w:tc>
          <w:tcPr>
            <w:tcW w:w="4499" w:type="dxa"/>
            <w:tcBorders>
              <w:top w:val="single" w:sz="4" w:space="0" w:color="FFFFFF" w:themeColor="background1"/>
              <w:left w:val="single" w:sz="4" w:space="0" w:color="auto"/>
              <w:bottom w:val="single" w:sz="4" w:space="0" w:color="FFFFFF" w:themeColor="background1"/>
              <w:right w:val="single" w:sz="4" w:space="0" w:color="auto"/>
            </w:tcBorders>
          </w:tcPr>
          <w:p w:rsidR="00816263" w:rsidRPr="00333458" w:rsidRDefault="00816263" w:rsidP="00F570ED">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816263" w:rsidRPr="00724FB3" w:rsidTr="0081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Borders>
              <w:right w:val="single" w:sz="4" w:space="0" w:color="auto"/>
            </w:tcBorders>
          </w:tcPr>
          <w:p w:rsidR="00816263" w:rsidRPr="00333458" w:rsidRDefault="00816263" w:rsidP="00F570ED">
            <w:pPr>
              <w:pStyle w:val="NormalWeb"/>
              <w:rPr>
                <w:color w:val="B4C6E7" w:themeColor="accent1" w:themeTint="66"/>
                <w:sz w:val="22"/>
                <w:szCs w:val="22"/>
              </w:rPr>
            </w:pPr>
            <w:r w:rsidRPr="00333458">
              <w:rPr>
                <w:color w:val="B4C6E7" w:themeColor="accent1" w:themeTint="66"/>
                <w:sz w:val="22"/>
                <w:szCs w:val="22"/>
              </w:rPr>
              <w:t>Amortissement</w:t>
            </w:r>
          </w:p>
        </w:tc>
        <w:tc>
          <w:tcPr>
            <w:tcW w:w="4499" w:type="dxa"/>
            <w:tcBorders>
              <w:top w:val="single" w:sz="4" w:space="0" w:color="FFFFFF" w:themeColor="background1"/>
              <w:left w:val="single" w:sz="4" w:space="0" w:color="auto"/>
              <w:bottom w:val="single" w:sz="4" w:space="0" w:color="FFFFFF" w:themeColor="background1"/>
              <w:right w:val="single" w:sz="4" w:space="0" w:color="auto"/>
            </w:tcBorders>
          </w:tcPr>
          <w:p w:rsidR="00816263" w:rsidRPr="00333458" w:rsidRDefault="00816263" w:rsidP="00F570ED">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333458">
              <w:rPr>
                <w:sz w:val="22"/>
                <w:szCs w:val="22"/>
              </w:rPr>
              <w:t>409 562</w:t>
            </w:r>
          </w:p>
        </w:tc>
      </w:tr>
      <w:tr w:rsidR="00816263" w:rsidRPr="00724FB3" w:rsidTr="00816263">
        <w:tc>
          <w:tcPr>
            <w:cnfStyle w:val="001000000000" w:firstRow="0" w:lastRow="0" w:firstColumn="1" w:lastColumn="0" w:oddVBand="0" w:evenVBand="0" w:oddHBand="0" w:evenHBand="0" w:firstRowFirstColumn="0" w:firstRowLastColumn="0" w:lastRowFirstColumn="0" w:lastRowLastColumn="0"/>
            <w:tcW w:w="4563" w:type="dxa"/>
            <w:tcBorders>
              <w:right w:val="single" w:sz="4" w:space="0" w:color="auto"/>
            </w:tcBorders>
          </w:tcPr>
          <w:p w:rsidR="00816263" w:rsidRPr="00333458" w:rsidRDefault="00816263" w:rsidP="00F570ED">
            <w:pPr>
              <w:pStyle w:val="NormalWeb"/>
              <w:rPr>
                <w:color w:val="B4C6E7" w:themeColor="accent1" w:themeTint="66"/>
                <w:sz w:val="22"/>
                <w:szCs w:val="22"/>
              </w:rPr>
            </w:pPr>
            <w:r w:rsidRPr="00333458">
              <w:rPr>
                <w:color w:val="B4C6E7" w:themeColor="accent1" w:themeTint="66"/>
                <w:sz w:val="22"/>
                <w:szCs w:val="22"/>
              </w:rPr>
              <w:t>Remboursement de la dette à long terme</w:t>
            </w:r>
          </w:p>
        </w:tc>
        <w:tc>
          <w:tcPr>
            <w:tcW w:w="4499" w:type="dxa"/>
            <w:tcBorders>
              <w:top w:val="single" w:sz="4" w:space="0" w:color="FFFFFF" w:themeColor="background1"/>
              <w:left w:val="single" w:sz="4" w:space="0" w:color="auto"/>
              <w:bottom w:val="single" w:sz="4" w:space="0" w:color="FFFFFF" w:themeColor="background1"/>
              <w:right w:val="single" w:sz="4" w:space="0" w:color="auto"/>
            </w:tcBorders>
          </w:tcPr>
          <w:p w:rsidR="00816263" w:rsidRPr="00333458" w:rsidRDefault="00816263" w:rsidP="00F570ED">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333458">
              <w:rPr>
                <w:sz w:val="22"/>
                <w:szCs w:val="22"/>
              </w:rPr>
              <w:t>(299 459)</w:t>
            </w:r>
          </w:p>
        </w:tc>
      </w:tr>
      <w:tr w:rsidR="00816263" w:rsidRPr="00724FB3" w:rsidTr="0081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Borders>
              <w:right w:val="single" w:sz="4" w:space="0" w:color="auto"/>
            </w:tcBorders>
          </w:tcPr>
          <w:p w:rsidR="00816263" w:rsidRPr="00333458" w:rsidRDefault="00816263" w:rsidP="00F570ED">
            <w:pPr>
              <w:pStyle w:val="NormalWeb"/>
              <w:tabs>
                <w:tab w:val="left" w:pos="1822"/>
              </w:tabs>
              <w:rPr>
                <w:color w:val="B4C6E7" w:themeColor="accent1" w:themeTint="66"/>
                <w:sz w:val="22"/>
                <w:szCs w:val="22"/>
              </w:rPr>
            </w:pPr>
            <w:r w:rsidRPr="00333458">
              <w:rPr>
                <w:color w:val="B4C6E7" w:themeColor="accent1" w:themeTint="66"/>
                <w:sz w:val="22"/>
                <w:szCs w:val="22"/>
              </w:rPr>
              <w:t>Activités d’investissement</w:t>
            </w:r>
          </w:p>
        </w:tc>
        <w:tc>
          <w:tcPr>
            <w:tcW w:w="4499" w:type="dxa"/>
            <w:tcBorders>
              <w:top w:val="single" w:sz="4" w:space="0" w:color="FFFFFF" w:themeColor="background1"/>
              <w:left w:val="single" w:sz="4" w:space="0" w:color="auto"/>
              <w:bottom w:val="single" w:sz="4" w:space="0" w:color="FFFFFF" w:themeColor="background1"/>
              <w:right w:val="single" w:sz="4" w:space="0" w:color="auto"/>
            </w:tcBorders>
          </w:tcPr>
          <w:p w:rsidR="00816263" w:rsidRPr="00333458" w:rsidRDefault="00816263" w:rsidP="00F570ED">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333458">
              <w:rPr>
                <w:sz w:val="22"/>
                <w:szCs w:val="22"/>
              </w:rPr>
              <w:t>(523 547)</w:t>
            </w:r>
          </w:p>
        </w:tc>
      </w:tr>
      <w:tr w:rsidR="00816263" w:rsidRPr="00724FB3" w:rsidTr="00816263">
        <w:tc>
          <w:tcPr>
            <w:cnfStyle w:val="001000000000" w:firstRow="0" w:lastRow="0" w:firstColumn="1" w:lastColumn="0" w:oddVBand="0" w:evenVBand="0" w:oddHBand="0" w:evenHBand="0" w:firstRowFirstColumn="0" w:firstRowLastColumn="0" w:lastRowFirstColumn="0" w:lastRowLastColumn="0"/>
            <w:tcW w:w="4563" w:type="dxa"/>
            <w:tcBorders>
              <w:bottom w:val="single" w:sz="4" w:space="0" w:color="auto"/>
              <w:right w:val="single" w:sz="4" w:space="0" w:color="auto"/>
            </w:tcBorders>
          </w:tcPr>
          <w:p w:rsidR="00816263" w:rsidRPr="00333458" w:rsidRDefault="00816263" w:rsidP="00F570ED">
            <w:pPr>
              <w:pStyle w:val="NormalWeb"/>
              <w:tabs>
                <w:tab w:val="left" w:pos="1822"/>
              </w:tabs>
              <w:rPr>
                <w:color w:val="B4C6E7" w:themeColor="accent1" w:themeTint="66"/>
                <w:sz w:val="22"/>
                <w:szCs w:val="22"/>
              </w:rPr>
            </w:pPr>
            <w:r w:rsidRPr="00333458">
              <w:rPr>
                <w:color w:val="B4C6E7" w:themeColor="accent1" w:themeTint="66"/>
                <w:sz w:val="22"/>
                <w:szCs w:val="22"/>
              </w:rPr>
              <w:t>Excédent (déficit) accumulé</w:t>
            </w:r>
          </w:p>
        </w:tc>
        <w:tc>
          <w:tcPr>
            <w:tcW w:w="4499" w:type="dxa"/>
            <w:tcBorders>
              <w:top w:val="single" w:sz="4" w:space="0" w:color="FFFFFF" w:themeColor="background1"/>
              <w:left w:val="single" w:sz="4" w:space="0" w:color="auto"/>
              <w:bottom w:val="single" w:sz="4" w:space="0" w:color="auto"/>
              <w:right w:val="single" w:sz="4" w:space="0" w:color="auto"/>
            </w:tcBorders>
          </w:tcPr>
          <w:p w:rsidR="00816263" w:rsidRPr="00333458" w:rsidRDefault="00816263" w:rsidP="00F570ED">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333458">
              <w:rPr>
                <w:sz w:val="22"/>
                <w:szCs w:val="22"/>
              </w:rPr>
              <w:t>87 746</w:t>
            </w:r>
          </w:p>
        </w:tc>
      </w:tr>
      <w:tr w:rsidR="00816263" w:rsidRPr="00724FB3" w:rsidTr="0081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Borders>
              <w:top w:val="single" w:sz="4" w:space="0" w:color="auto"/>
              <w:left w:val="single" w:sz="4" w:space="0" w:color="auto"/>
              <w:bottom w:val="single" w:sz="4" w:space="0" w:color="auto"/>
            </w:tcBorders>
          </w:tcPr>
          <w:p w:rsidR="00816263" w:rsidRPr="00333458" w:rsidRDefault="00816263" w:rsidP="00F570ED">
            <w:pPr>
              <w:pStyle w:val="NormalWeb"/>
              <w:tabs>
                <w:tab w:val="left" w:pos="1822"/>
              </w:tabs>
              <w:rPr>
                <w:b w:val="0"/>
                <w:color w:val="B4C6E7" w:themeColor="accent1" w:themeTint="66"/>
                <w:sz w:val="22"/>
                <w:szCs w:val="22"/>
              </w:rPr>
            </w:pPr>
            <w:r w:rsidRPr="00333458">
              <w:rPr>
                <w:sz w:val="22"/>
                <w:szCs w:val="22"/>
              </w:rPr>
              <w:t>Excédent (déficit) de fonctionnement de l’exercice à des fins fiscales</w:t>
            </w:r>
          </w:p>
        </w:tc>
        <w:tc>
          <w:tcPr>
            <w:tcW w:w="4499" w:type="dxa"/>
            <w:tcBorders>
              <w:top w:val="single" w:sz="4" w:space="0" w:color="auto"/>
              <w:bottom w:val="single" w:sz="4" w:space="0" w:color="auto"/>
              <w:right w:val="single" w:sz="4" w:space="0" w:color="auto"/>
            </w:tcBorders>
          </w:tcPr>
          <w:p w:rsidR="00816263" w:rsidRPr="00333458" w:rsidRDefault="00816263" w:rsidP="00F570ED">
            <w:pPr>
              <w:pStyle w:val="NormalWeb"/>
              <w:jc w:val="center"/>
              <w:cnfStyle w:val="000000100000" w:firstRow="0" w:lastRow="0" w:firstColumn="0" w:lastColumn="0" w:oddVBand="0" w:evenVBand="0" w:oddHBand="1" w:evenHBand="0" w:firstRowFirstColumn="0" w:firstRowLastColumn="0" w:lastRowFirstColumn="0" w:lastRowLastColumn="0"/>
              <w:rPr>
                <w:bCs/>
                <w:sz w:val="22"/>
                <w:szCs w:val="22"/>
              </w:rPr>
            </w:pPr>
            <w:r w:rsidRPr="00333458">
              <w:rPr>
                <w:bCs/>
                <w:sz w:val="22"/>
                <w:szCs w:val="22"/>
              </w:rPr>
              <w:t>517 073</w:t>
            </w:r>
          </w:p>
        </w:tc>
      </w:tr>
    </w:tbl>
    <w:p w:rsidR="00816263" w:rsidRPr="00E54901" w:rsidRDefault="00816263" w:rsidP="00816263">
      <w:pPr>
        <w:pStyle w:val="NormalWeb"/>
        <w:jc w:val="both"/>
        <w:rPr>
          <w:rFonts w:asciiTheme="minorHAnsi" w:hAnsiTheme="minorHAnsi" w:cstheme="minorHAnsi"/>
          <w:b w:val="0"/>
          <w:bCs/>
          <w:sz w:val="22"/>
          <w:szCs w:val="22"/>
        </w:rPr>
      </w:pPr>
      <w:r w:rsidRPr="00E54901">
        <w:rPr>
          <w:rFonts w:asciiTheme="minorHAnsi" w:hAnsiTheme="minorHAnsi" w:cstheme="minorHAnsi"/>
          <w:b w:val="0"/>
          <w:bCs/>
          <w:sz w:val="22"/>
          <w:szCs w:val="22"/>
        </w:rPr>
        <w:lastRenderedPageBreak/>
        <w:t xml:space="preserve">L’exercice financier 2021 s’est soldé avec un excédent de fonctionnements consolidés de </w:t>
      </w:r>
      <w:r w:rsidRPr="00E54901">
        <w:rPr>
          <w:rFonts w:asciiTheme="minorHAnsi" w:hAnsiTheme="minorHAnsi" w:cstheme="minorHAnsi"/>
          <w:b w:val="0"/>
          <w:bCs/>
          <w:color w:val="000000" w:themeColor="text1"/>
          <w:sz w:val="22"/>
          <w:szCs w:val="22"/>
        </w:rPr>
        <w:t>517 073 </w:t>
      </w:r>
      <w:r w:rsidRPr="00E54901">
        <w:rPr>
          <w:rFonts w:asciiTheme="minorHAnsi" w:hAnsiTheme="minorHAnsi" w:cstheme="minorHAnsi"/>
          <w:b w:val="0"/>
          <w:bCs/>
          <w:sz w:val="22"/>
          <w:szCs w:val="22"/>
        </w:rPr>
        <w:t xml:space="preserve">$ dont 100 000 $ a été affecté. </w:t>
      </w:r>
    </w:p>
    <w:p w:rsidR="00816263" w:rsidRPr="00E54901" w:rsidRDefault="00816263" w:rsidP="00816263">
      <w:pPr>
        <w:pStyle w:val="NormalWeb"/>
        <w:jc w:val="both"/>
        <w:rPr>
          <w:rFonts w:asciiTheme="minorHAnsi" w:hAnsiTheme="minorHAnsi" w:cstheme="minorHAnsi"/>
          <w:b w:val="0"/>
          <w:bCs/>
          <w:color w:val="000000" w:themeColor="text1"/>
          <w:sz w:val="22"/>
          <w:szCs w:val="22"/>
        </w:rPr>
      </w:pPr>
      <w:r w:rsidRPr="00E54901">
        <w:rPr>
          <w:rFonts w:asciiTheme="minorHAnsi" w:hAnsiTheme="minorHAnsi" w:cstheme="minorHAnsi"/>
          <w:b w:val="0"/>
          <w:bCs/>
          <w:color w:val="000000" w:themeColor="text1"/>
          <w:sz w:val="22"/>
          <w:szCs w:val="22"/>
        </w:rPr>
        <w:t xml:space="preserve">Les surplus de la </w:t>
      </w:r>
      <w:r w:rsidRPr="00771CB6">
        <w:rPr>
          <w:rFonts w:asciiTheme="minorHAnsi" w:hAnsiTheme="minorHAnsi" w:cstheme="minorHAnsi"/>
          <w:b w:val="0"/>
          <w:bCs/>
          <w:color w:val="000000" w:themeColor="text1"/>
          <w:sz w:val="22"/>
          <w:szCs w:val="22"/>
        </w:rPr>
        <w:t>Municipalité (excédent de fonctionnement</w:t>
      </w:r>
      <w:r w:rsidRPr="00E54901">
        <w:rPr>
          <w:rFonts w:asciiTheme="minorHAnsi" w:hAnsiTheme="minorHAnsi" w:cstheme="minorHAnsi"/>
          <w:b w:val="0"/>
          <w:bCs/>
          <w:color w:val="000000" w:themeColor="text1"/>
          <w:sz w:val="22"/>
          <w:szCs w:val="22"/>
        </w:rPr>
        <w:t xml:space="preserve">) pour 2021 s’expliquent cette année par une hausse des droits de mutation qui atteignent 36 628 $, ainsi que par la vente du terrain pour la construction de la Maison des ainés au montant de 156 907 $. De plus, un montant de 100 000 $ avait été affecté au budget 2021. </w:t>
      </w:r>
    </w:p>
    <w:p w:rsidR="00816263" w:rsidRPr="00771CB6" w:rsidRDefault="00816263" w:rsidP="00816263">
      <w:pPr>
        <w:pStyle w:val="NormalWeb"/>
        <w:jc w:val="both"/>
        <w:rPr>
          <w:rFonts w:asciiTheme="minorHAnsi" w:hAnsiTheme="minorHAnsi" w:cstheme="minorHAnsi"/>
          <w:bCs/>
        </w:rPr>
      </w:pPr>
      <w:r w:rsidRPr="00771CB6">
        <w:rPr>
          <w:rFonts w:asciiTheme="minorHAnsi" w:hAnsiTheme="minorHAnsi" w:cstheme="minorHAnsi"/>
          <w:bCs/>
        </w:rPr>
        <w:t>Réalisations 2021</w:t>
      </w:r>
    </w:p>
    <w:p w:rsidR="00816263" w:rsidRPr="00E54901" w:rsidRDefault="00816263" w:rsidP="00816263">
      <w:pPr>
        <w:pStyle w:val="NormalWeb"/>
        <w:jc w:val="both"/>
        <w:rPr>
          <w:rFonts w:asciiTheme="minorHAnsi" w:hAnsiTheme="minorHAnsi" w:cstheme="minorHAnsi"/>
          <w:bCs/>
          <w:sz w:val="22"/>
          <w:szCs w:val="22"/>
          <w:u w:val="single"/>
        </w:rPr>
      </w:pPr>
      <w:r w:rsidRPr="00E54901">
        <w:rPr>
          <w:rFonts w:asciiTheme="minorHAnsi" w:hAnsiTheme="minorHAnsi" w:cstheme="minorHAnsi"/>
          <w:bCs/>
          <w:sz w:val="22"/>
          <w:szCs w:val="22"/>
          <w:u w:val="single"/>
        </w:rPr>
        <w:t>Service incendie :</w:t>
      </w:r>
    </w:p>
    <w:p w:rsidR="00816263" w:rsidRPr="00E54901" w:rsidRDefault="00816263" w:rsidP="00816263">
      <w:pPr>
        <w:pStyle w:val="Paragraphedeliste"/>
        <w:numPr>
          <w:ilvl w:val="0"/>
          <w:numId w:val="1"/>
        </w:numPr>
        <w:spacing w:after="0" w:line="240" w:lineRule="auto"/>
        <w:jc w:val="both"/>
        <w:rPr>
          <w:rFonts w:asciiTheme="minorHAnsi" w:hAnsiTheme="minorHAnsi" w:cstheme="minorHAnsi"/>
          <w:b w:val="0"/>
          <w:sz w:val="22"/>
          <w:szCs w:val="22"/>
        </w:rPr>
      </w:pPr>
      <w:r w:rsidRPr="00E54901">
        <w:rPr>
          <w:rFonts w:asciiTheme="minorHAnsi" w:hAnsiTheme="minorHAnsi" w:cstheme="minorHAnsi"/>
          <w:b w:val="0"/>
          <w:sz w:val="22"/>
          <w:szCs w:val="22"/>
        </w:rPr>
        <w:t>Achat d’un camion pour le Service incendie afin d’assurer le transport du matériel et des pompiers lors des interventions. Ce camion est aussi utilisé au quotidien pour les travaux publics</w:t>
      </w:r>
      <w:r>
        <w:rPr>
          <w:rFonts w:asciiTheme="minorHAnsi" w:hAnsiTheme="minorHAnsi" w:cstheme="minorHAnsi"/>
          <w:b w:val="0"/>
          <w:sz w:val="22"/>
          <w:szCs w:val="22"/>
        </w:rPr>
        <w:t>, eau potable et eaux usées</w:t>
      </w:r>
      <w:r w:rsidRPr="00E54901">
        <w:rPr>
          <w:rFonts w:asciiTheme="minorHAnsi" w:hAnsiTheme="minorHAnsi" w:cstheme="minorHAnsi"/>
          <w:b w:val="0"/>
          <w:sz w:val="22"/>
          <w:szCs w:val="22"/>
        </w:rPr>
        <w:t>.</w:t>
      </w:r>
    </w:p>
    <w:p w:rsidR="00816263" w:rsidRPr="00E54901" w:rsidRDefault="00816263" w:rsidP="00816263">
      <w:pPr>
        <w:pStyle w:val="NormalWeb"/>
        <w:jc w:val="both"/>
        <w:rPr>
          <w:rFonts w:asciiTheme="minorHAnsi" w:hAnsiTheme="minorHAnsi" w:cstheme="minorHAnsi"/>
          <w:bCs/>
          <w:sz w:val="22"/>
          <w:szCs w:val="22"/>
        </w:rPr>
      </w:pPr>
      <w:r w:rsidRPr="00E54901">
        <w:rPr>
          <w:rFonts w:asciiTheme="minorHAnsi" w:hAnsiTheme="minorHAnsi" w:cstheme="minorHAnsi"/>
          <w:bCs/>
          <w:sz w:val="22"/>
          <w:szCs w:val="22"/>
          <w:u w:val="single"/>
        </w:rPr>
        <w:t>Réseau routier :</w:t>
      </w:r>
    </w:p>
    <w:p w:rsidR="00816263" w:rsidRPr="00E54901" w:rsidRDefault="00816263" w:rsidP="00816263">
      <w:pPr>
        <w:pStyle w:val="Paragraphedeliste"/>
        <w:numPr>
          <w:ilvl w:val="0"/>
          <w:numId w:val="2"/>
        </w:numPr>
        <w:spacing w:after="0" w:line="240" w:lineRule="auto"/>
        <w:jc w:val="both"/>
        <w:rPr>
          <w:rFonts w:asciiTheme="minorHAnsi" w:hAnsiTheme="minorHAnsi" w:cstheme="minorHAnsi"/>
          <w:b w:val="0"/>
          <w:bCs/>
          <w:sz w:val="22"/>
          <w:szCs w:val="22"/>
        </w:rPr>
      </w:pPr>
      <w:r w:rsidRPr="00E54901">
        <w:rPr>
          <w:rFonts w:asciiTheme="minorHAnsi" w:hAnsiTheme="minorHAnsi" w:cstheme="minorHAnsi"/>
          <w:b w:val="0"/>
          <w:bCs/>
          <w:sz w:val="22"/>
          <w:szCs w:val="22"/>
        </w:rPr>
        <w:t>Réfection d’une partie du chemin Principal dans le cadre du projet FIMEAU au montant de 718 827 $. Ces travaux auront permis de remettre à niveau et de prolonger les infrastructures (aqueduc, égout et pluvial) sur une section du chemin Principal menant à la montagne de la Croix. Une aide financière de 445 014 $ nous a été accordée pour la réalisation de ces travaux.</w:t>
      </w:r>
    </w:p>
    <w:p w:rsidR="00816263" w:rsidRPr="00E54901" w:rsidRDefault="00816263" w:rsidP="00816263">
      <w:pPr>
        <w:pStyle w:val="Paragraphedeliste"/>
        <w:jc w:val="both"/>
        <w:rPr>
          <w:rFonts w:asciiTheme="minorHAnsi" w:hAnsiTheme="minorHAnsi" w:cstheme="minorHAnsi"/>
          <w:b w:val="0"/>
          <w:bCs/>
          <w:sz w:val="22"/>
          <w:szCs w:val="22"/>
        </w:rPr>
      </w:pPr>
    </w:p>
    <w:p w:rsidR="00816263" w:rsidRPr="00E54901" w:rsidRDefault="00816263" w:rsidP="00816263">
      <w:pPr>
        <w:pStyle w:val="Paragraphedeliste"/>
        <w:numPr>
          <w:ilvl w:val="0"/>
          <w:numId w:val="2"/>
        </w:numPr>
        <w:spacing w:after="0" w:line="240" w:lineRule="auto"/>
        <w:jc w:val="both"/>
        <w:rPr>
          <w:rFonts w:asciiTheme="minorHAnsi" w:hAnsiTheme="minorHAnsi" w:cstheme="minorHAnsi"/>
          <w:b w:val="0"/>
          <w:bCs/>
          <w:sz w:val="22"/>
          <w:szCs w:val="22"/>
        </w:rPr>
      </w:pPr>
      <w:r w:rsidRPr="00E54901">
        <w:rPr>
          <w:rFonts w:asciiTheme="minorHAnsi" w:hAnsiTheme="minorHAnsi" w:cstheme="minorHAnsi"/>
          <w:b w:val="0"/>
          <w:bCs/>
          <w:sz w:val="22"/>
          <w:szCs w:val="22"/>
        </w:rPr>
        <w:t xml:space="preserve">Réfection du chemin Cartier au montant de 507 555 $. Des travaux de resurfaçage d’asphalte ont été réalisés sur différents tronçons du chemin Cartier Nord et chemin Cartier Sud. Ces travaux ont été subventionnés à hauteur de 380 668 $ dans le cadre du programme RIRL. </w:t>
      </w:r>
    </w:p>
    <w:p w:rsidR="00816263" w:rsidRPr="00E54901" w:rsidRDefault="00816263" w:rsidP="00816263">
      <w:pPr>
        <w:jc w:val="both"/>
        <w:rPr>
          <w:rFonts w:asciiTheme="minorHAnsi" w:hAnsiTheme="minorHAnsi" w:cstheme="minorHAnsi"/>
          <w:sz w:val="22"/>
          <w:szCs w:val="22"/>
          <w:u w:val="single"/>
        </w:rPr>
      </w:pPr>
    </w:p>
    <w:p w:rsidR="00816263" w:rsidRPr="00E54901" w:rsidRDefault="00816263" w:rsidP="00816263">
      <w:pPr>
        <w:jc w:val="both"/>
        <w:rPr>
          <w:rFonts w:asciiTheme="minorHAnsi" w:hAnsiTheme="minorHAnsi" w:cstheme="minorHAnsi"/>
          <w:sz w:val="22"/>
          <w:szCs w:val="22"/>
        </w:rPr>
      </w:pPr>
      <w:r w:rsidRPr="00E54901">
        <w:rPr>
          <w:rFonts w:asciiTheme="minorHAnsi" w:hAnsiTheme="minorHAnsi" w:cstheme="minorHAnsi"/>
          <w:sz w:val="22"/>
          <w:szCs w:val="22"/>
          <w:u w:val="single"/>
        </w:rPr>
        <w:t>Projet de développement :</w:t>
      </w:r>
    </w:p>
    <w:p w:rsidR="00816263" w:rsidRDefault="00816263" w:rsidP="00816263">
      <w:pPr>
        <w:pStyle w:val="NormalWeb"/>
        <w:numPr>
          <w:ilvl w:val="0"/>
          <w:numId w:val="3"/>
        </w:numPr>
        <w:spacing w:after="0" w:afterAutospacing="0"/>
        <w:jc w:val="both"/>
        <w:rPr>
          <w:rFonts w:asciiTheme="minorHAnsi" w:hAnsiTheme="minorHAnsi" w:cstheme="minorHAnsi"/>
          <w:b w:val="0"/>
          <w:bCs/>
          <w:sz w:val="22"/>
          <w:szCs w:val="22"/>
        </w:rPr>
      </w:pPr>
      <w:r w:rsidRPr="00E54901">
        <w:rPr>
          <w:rFonts w:asciiTheme="minorHAnsi" w:hAnsiTheme="minorHAnsi" w:cstheme="minorHAnsi"/>
          <w:b w:val="0"/>
          <w:bCs/>
          <w:sz w:val="22"/>
          <w:szCs w:val="22"/>
        </w:rPr>
        <w:t>La Municipalité a réalisé un développement résidentiel de 18 terrains dédié à la construction unifamiliale, ainsi que 2 terrains dédiés à la construction multilogement.</w:t>
      </w:r>
    </w:p>
    <w:p w:rsidR="00816263" w:rsidRPr="00E54901" w:rsidRDefault="00816263" w:rsidP="00816263">
      <w:pPr>
        <w:pStyle w:val="NormalWeb"/>
        <w:numPr>
          <w:ilvl w:val="0"/>
          <w:numId w:val="3"/>
        </w:numPr>
        <w:jc w:val="both"/>
        <w:rPr>
          <w:rFonts w:asciiTheme="minorHAnsi" w:hAnsiTheme="minorHAnsi" w:cstheme="minorHAnsi"/>
          <w:b w:val="0"/>
          <w:bCs/>
          <w:sz w:val="22"/>
          <w:szCs w:val="22"/>
        </w:rPr>
      </w:pPr>
      <w:r w:rsidRPr="00E54901">
        <w:rPr>
          <w:rFonts w:asciiTheme="minorHAnsi" w:hAnsiTheme="minorHAnsi" w:cstheme="minorHAnsi"/>
          <w:b w:val="0"/>
          <w:bCs/>
          <w:sz w:val="22"/>
          <w:szCs w:val="22"/>
        </w:rPr>
        <w:t>Les infrastructures du développement résidentiel permettront aussi d’accueillir la future Maison des ainés.</w:t>
      </w:r>
    </w:p>
    <w:p w:rsidR="00816263" w:rsidRDefault="00816263" w:rsidP="00816263">
      <w:pPr>
        <w:pStyle w:val="NormalWeb"/>
        <w:jc w:val="both"/>
        <w:rPr>
          <w:rFonts w:asciiTheme="minorHAnsi" w:hAnsiTheme="minorHAnsi" w:cstheme="minorHAnsi"/>
          <w:b w:val="0"/>
          <w:bCs/>
          <w:sz w:val="22"/>
          <w:szCs w:val="22"/>
        </w:rPr>
      </w:pPr>
      <w:r w:rsidRPr="00E54901">
        <w:rPr>
          <w:rFonts w:asciiTheme="minorHAnsi" w:hAnsiTheme="minorHAnsi" w:cstheme="minorHAnsi"/>
          <w:b w:val="0"/>
          <w:bCs/>
          <w:sz w:val="22"/>
          <w:szCs w:val="22"/>
        </w:rPr>
        <w:t xml:space="preserve">Je désire remercier M. Aurel Bergeron pour ses années de services au sein du Service de sécurité incendie à titre de chef pompier. Par le fait même, je désire souligner la nomination de M. Carl Lavoie qui a pris la direction du Service de sécurité incendie en 2021. En terminant, il m’importe de souligner le travail et l’implication du personnel administratif, des employés, des pompiers, des membres du conseil municipal, ainsi que les bénévoles. Votre contribution et votre dévouement sont un apport important dans les services offerts aux résidents de Saint-Hilarion. </w:t>
      </w:r>
    </w:p>
    <w:p w:rsidR="00185905" w:rsidRPr="00E54901" w:rsidRDefault="00185905" w:rsidP="00816263">
      <w:pPr>
        <w:pStyle w:val="NormalWeb"/>
        <w:jc w:val="both"/>
        <w:rPr>
          <w:rFonts w:asciiTheme="minorHAnsi" w:hAnsiTheme="minorHAnsi" w:cstheme="minorHAnsi"/>
          <w:b w:val="0"/>
          <w:bCs/>
          <w:sz w:val="22"/>
          <w:szCs w:val="22"/>
        </w:rPr>
      </w:pPr>
      <w:r w:rsidRPr="00E54901">
        <w:rPr>
          <w:rFonts w:asciiTheme="minorHAnsi" w:hAnsiTheme="minorHAnsi" w:cstheme="minorHAnsi"/>
          <w:noProof/>
          <w:sz w:val="22"/>
          <w:szCs w:val="22"/>
        </w:rPr>
        <w:drawing>
          <wp:anchor distT="0" distB="0" distL="114300" distR="114300" simplePos="0" relativeHeight="251659264" behindDoc="1" locked="0" layoutInCell="1" allowOverlap="1" wp14:anchorId="7259D0B7" wp14:editId="7AA9006D">
            <wp:simplePos x="0" y="0"/>
            <wp:positionH relativeFrom="column">
              <wp:posOffset>73660</wp:posOffset>
            </wp:positionH>
            <wp:positionV relativeFrom="paragraph">
              <wp:posOffset>84978</wp:posOffset>
            </wp:positionV>
            <wp:extent cx="1091738" cy="448965"/>
            <wp:effectExtent l="0" t="0" r="0" b="8255"/>
            <wp:wrapNone/>
            <wp:docPr id="4" name="Image 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tableau blanc&#10;&#10;Description générée automatiquement"/>
                    <pic:cNvPicPr/>
                  </pic:nvPicPr>
                  <pic:blipFill>
                    <a:blip r:embed="rId6"/>
                    <a:stretch>
                      <a:fillRect/>
                    </a:stretch>
                  </pic:blipFill>
                  <pic:spPr>
                    <a:xfrm>
                      <a:off x="0" y="0"/>
                      <a:ext cx="1091738" cy="448965"/>
                    </a:xfrm>
                    <a:prstGeom prst="rect">
                      <a:avLst/>
                    </a:prstGeom>
                  </pic:spPr>
                </pic:pic>
              </a:graphicData>
            </a:graphic>
            <wp14:sizeRelH relativeFrom="margin">
              <wp14:pctWidth>0</wp14:pctWidth>
            </wp14:sizeRelH>
            <wp14:sizeRelV relativeFrom="margin">
              <wp14:pctHeight>0</wp14:pctHeight>
            </wp14:sizeRelV>
          </wp:anchor>
        </w:drawing>
      </w:r>
    </w:p>
    <w:p w:rsidR="00816263" w:rsidRPr="00E54901" w:rsidRDefault="00816263" w:rsidP="00816263">
      <w:pPr>
        <w:pStyle w:val="NormalWeb"/>
        <w:rPr>
          <w:rFonts w:asciiTheme="minorHAnsi" w:hAnsiTheme="minorHAnsi" w:cstheme="minorHAnsi"/>
          <w:sz w:val="22"/>
          <w:szCs w:val="22"/>
        </w:rPr>
      </w:pPr>
    </w:p>
    <w:p w:rsidR="00816263" w:rsidRPr="00E54901" w:rsidRDefault="00816263" w:rsidP="00816263">
      <w:pPr>
        <w:pStyle w:val="NormalWeb"/>
        <w:rPr>
          <w:rFonts w:asciiTheme="minorHAnsi" w:hAnsiTheme="minorHAnsi" w:cstheme="minorHAnsi"/>
          <w:b w:val="0"/>
          <w:bCs/>
          <w:sz w:val="22"/>
          <w:szCs w:val="22"/>
        </w:rPr>
      </w:pPr>
      <w:r w:rsidRPr="00E54901">
        <w:rPr>
          <w:rFonts w:asciiTheme="minorHAnsi" w:hAnsiTheme="minorHAnsi" w:cstheme="minorHAnsi"/>
          <w:b w:val="0"/>
          <w:bCs/>
          <w:sz w:val="22"/>
          <w:szCs w:val="22"/>
        </w:rPr>
        <w:t>Patrick Lavoie</w:t>
      </w:r>
    </w:p>
    <w:p w:rsidR="00816263" w:rsidRDefault="00816263" w:rsidP="00816263">
      <w:pPr>
        <w:pStyle w:val="NormalWeb"/>
        <w:rPr>
          <w:rFonts w:asciiTheme="minorHAnsi" w:hAnsiTheme="minorHAnsi" w:cstheme="minorHAnsi"/>
          <w:b w:val="0"/>
          <w:bCs/>
          <w:sz w:val="22"/>
          <w:szCs w:val="22"/>
        </w:rPr>
      </w:pPr>
      <w:r w:rsidRPr="00E54901">
        <w:rPr>
          <w:rFonts w:asciiTheme="minorHAnsi" w:hAnsiTheme="minorHAnsi" w:cstheme="minorHAnsi"/>
          <w:b w:val="0"/>
          <w:bCs/>
          <w:sz w:val="22"/>
          <w:szCs w:val="22"/>
        </w:rPr>
        <w:t xml:space="preserve">Maire </w:t>
      </w:r>
    </w:p>
    <w:sectPr w:rsidR="00816263" w:rsidSect="00C764BE">
      <w:type w:val="continuous"/>
      <w:pgSz w:w="11906" w:h="16838" w:code="9"/>
      <w:pgMar w:top="1418" w:right="1418" w:bottom="567" w:left="1418" w:header="720" w:footer="720"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C61FA"/>
    <w:multiLevelType w:val="hybridMultilevel"/>
    <w:tmpl w:val="3C22589A"/>
    <w:lvl w:ilvl="0" w:tplc="9B6266F4">
      <w:start w:val="353"/>
      <w:numFmt w:val="bullet"/>
      <w:lvlText w:val="-"/>
      <w:lvlJc w:val="left"/>
      <w:pPr>
        <w:ind w:left="720" w:hanging="360"/>
      </w:pPr>
      <w:rPr>
        <w:rFonts w:ascii="Cambria" w:eastAsiaTheme="minorEastAsia" w:hAnsi="Cambria"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50C27720"/>
    <w:multiLevelType w:val="hybridMultilevel"/>
    <w:tmpl w:val="211EC06E"/>
    <w:lvl w:ilvl="0" w:tplc="1BF03900">
      <w:start w:val="281"/>
      <w:numFmt w:val="bullet"/>
      <w:lvlText w:val="-"/>
      <w:lvlJc w:val="left"/>
      <w:pPr>
        <w:ind w:left="720" w:hanging="360"/>
      </w:pPr>
      <w:rPr>
        <w:rFonts w:ascii="Times" w:eastAsiaTheme="minorEastAsia" w:hAnsi="Times" w:cs="Time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6FB076EB"/>
    <w:multiLevelType w:val="hybridMultilevel"/>
    <w:tmpl w:val="D114A79A"/>
    <w:lvl w:ilvl="0" w:tplc="7D5EDFB6">
      <w:start w:val="353"/>
      <w:numFmt w:val="bullet"/>
      <w:lvlText w:val="-"/>
      <w:lvlJc w:val="left"/>
      <w:pPr>
        <w:ind w:left="720" w:hanging="360"/>
      </w:pPr>
      <w:rPr>
        <w:rFonts w:ascii="Cambria" w:eastAsiaTheme="minorEastAsia" w:hAnsi="Cambria"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881207508">
    <w:abstractNumId w:val="0"/>
  </w:num>
  <w:num w:numId="2" w16cid:durableId="352222555">
    <w:abstractNumId w:val="2"/>
  </w:num>
  <w:num w:numId="3" w16cid:durableId="1498766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3"/>
    <w:rsid w:val="00044E2F"/>
    <w:rsid w:val="0008748F"/>
    <w:rsid w:val="00185905"/>
    <w:rsid w:val="00816263"/>
    <w:rsid w:val="00C764BE"/>
    <w:rsid w:val="00E179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896C"/>
  <w15:chartTrackingRefBased/>
  <w15:docId w15:val="{A5C73584-B382-42BC-BE7A-BB463928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63"/>
    <w:pPr>
      <w:spacing w:after="0" w:line="240" w:lineRule="auto"/>
    </w:pPr>
    <w:rPr>
      <w:rFonts w:ascii="Gungsuh" w:eastAsia="Gungsuh" w:hAnsi="Gungsuh" w:cs="Times New Roman"/>
      <w:b/>
      <w:sz w:val="1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16263"/>
    <w:pPr>
      <w:spacing w:before="100" w:beforeAutospacing="1" w:after="100" w:afterAutospacing="1"/>
    </w:pPr>
    <w:rPr>
      <w:rFonts w:ascii="Arial Unicode MS" w:eastAsia="Arial Unicode MS" w:hAnsi="Arial Unicode MS" w:cs="Arial Unicode MS"/>
      <w:sz w:val="24"/>
      <w:szCs w:val="24"/>
      <w:lang w:eastAsia="fr-FR"/>
    </w:rPr>
  </w:style>
  <w:style w:type="paragraph" w:styleId="Paragraphedeliste">
    <w:name w:val="List Paragraph"/>
    <w:basedOn w:val="Normal"/>
    <w:uiPriority w:val="34"/>
    <w:qFormat/>
    <w:rsid w:val="00816263"/>
    <w:pPr>
      <w:spacing w:after="200" w:line="276" w:lineRule="auto"/>
      <w:ind w:left="720"/>
      <w:contextualSpacing/>
    </w:pPr>
    <w:rPr>
      <w:rFonts w:ascii="Arial" w:eastAsia="Calibri" w:hAnsi="Arial"/>
      <w:sz w:val="24"/>
      <w:szCs w:val="24"/>
      <w:lang w:eastAsia="en-US"/>
    </w:rPr>
  </w:style>
  <w:style w:type="table" w:styleId="Grillecouleur-Accent1">
    <w:name w:val="Colorful Grid Accent 1"/>
    <w:basedOn w:val="TableauNormal"/>
    <w:uiPriority w:val="73"/>
    <w:unhideWhenUsed/>
    <w:rsid w:val="00816263"/>
    <w:pPr>
      <w:spacing w:after="0" w:line="240" w:lineRule="auto"/>
    </w:pPr>
    <w:rPr>
      <w:rFonts w:eastAsiaTheme="minorEastAsia"/>
      <w:color w:val="000000" w:themeColor="text1"/>
      <w:sz w:val="24"/>
      <w:szCs w:val="24"/>
      <w:lang w:val="fr-FR" w:eastAsia="fr-FR"/>
    </w:rPr>
    <w:tblPr>
      <w:tblStyleRowBandSize w:val="1"/>
      <w:tblStyleColBandSize w:val="1"/>
      <w:tblInd w:w="0" w:type="nil"/>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3133</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dc:creator>
  <cp:keywords/>
  <dc:description/>
  <cp:lastModifiedBy>Nadine Perron</cp:lastModifiedBy>
  <cp:revision>2</cp:revision>
  <dcterms:created xsi:type="dcterms:W3CDTF">2024-03-25T17:51:00Z</dcterms:created>
  <dcterms:modified xsi:type="dcterms:W3CDTF">2024-03-25T17:51:00Z</dcterms:modified>
</cp:coreProperties>
</file>